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от «___» _______ 2021 г. </w:t>
      </w:r>
      <w:r w:rsidR="003D7DE3" w:rsidRPr="003D7D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82B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3D7DE3" w:rsidRPr="003D7D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/2022-К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D66552" w:rsidRPr="00D66552" w:rsidRDefault="00D66552" w:rsidP="00D6655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первого заместителя Генерального директора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Default="00D66552" w:rsidP="00D66552">
      <w:pPr>
        <w:pStyle w:val="a3"/>
        <w:jc w:val="both"/>
      </w:pPr>
      <w:r w:rsidRPr="00D66552">
        <w:rPr>
          <w:b/>
        </w:rPr>
        <w:t>Общество с ограниченной ответственностью «</w:t>
      </w:r>
      <w:proofErr w:type="spellStart"/>
      <w:r w:rsidRPr="00D66552">
        <w:rPr>
          <w:b/>
        </w:rPr>
        <w:t>ТеплоЭнергоСервис</w:t>
      </w:r>
      <w:proofErr w:type="spellEnd"/>
      <w:r w:rsidRPr="00D66552">
        <w:rPr>
          <w:b/>
        </w:rPr>
        <w:t>»</w:t>
      </w:r>
      <w:r w:rsidRPr="00D66552">
        <w:t xml:space="preserve"> (ООО</w:t>
      </w:r>
      <w:r>
        <w:t xml:space="preserve"> «</w:t>
      </w:r>
      <w:r w:rsidRPr="00D66552">
        <w:t>ТЭС</w:t>
      </w:r>
      <w:r>
        <w:t>»</w:t>
      </w:r>
      <w:r w:rsidRPr="00D66552">
        <w:t>), именуемое в дальнейшем «</w:t>
      </w:r>
      <w:r w:rsidRPr="00D66552">
        <w:rPr>
          <w:b/>
        </w:rPr>
        <w:t>Субподрядчик</w:t>
      </w:r>
      <w:r w:rsidRPr="00D66552">
        <w:t xml:space="preserve">», в лице генерального директора </w:t>
      </w:r>
      <w:r w:rsidRPr="00D66552">
        <w:rPr>
          <w:b/>
        </w:rPr>
        <w:t xml:space="preserve">Поповой Ксении </w:t>
      </w:r>
      <w:r>
        <w:rPr>
          <w:b/>
        </w:rPr>
        <w:t>Ал</w:t>
      </w:r>
      <w:r w:rsidRPr="00D66552">
        <w:rPr>
          <w:b/>
        </w:rPr>
        <w:t>ександровны</w:t>
      </w:r>
      <w:r w:rsidRPr="00D66552">
        <w:t>, с другой стороны, действующего на основании Устава</w:t>
      </w:r>
      <w:r>
        <w:t xml:space="preserve">, с другой стороны, заключили настоящее соглашение (далее – «Соглашение») к Договору подряда на ремонтные работы № </w:t>
      </w:r>
      <w:r w:rsidR="003D7DE3">
        <w:rPr>
          <w:bCs/>
          <w:sz w:val="22"/>
          <w:szCs w:val="22"/>
        </w:rPr>
        <w:t>1</w:t>
      </w:r>
      <w:r w:rsidR="00282B29">
        <w:rPr>
          <w:bCs/>
          <w:sz w:val="22"/>
          <w:szCs w:val="22"/>
        </w:rPr>
        <w:t>9</w:t>
      </w:r>
      <w:r w:rsidR="003D7DE3" w:rsidRPr="002565C8">
        <w:rPr>
          <w:bCs/>
          <w:sz w:val="22"/>
          <w:szCs w:val="22"/>
        </w:rPr>
        <w:t>/2022-</w:t>
      </w:r>
      <w:r w:rsidR="003D7DE3">
        <w:rPr>
          <w:bCs/>
          <w:sz w:val="22"/>
          <w:szCs w:val="22"/>
        </w:rPr>
        <w:t>К</w:t>
      </w:r>
      <w:r w:rsidR="003D7DE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>
        <w:t xml:space="preserve"> </w:t>
      </w:r>
      <w:r w:rsidR="004D4263">
        <w:t xml:space="preserve">            2022г.</w:t>
      </w:r>
      <w:r>
        <w:t xml:space="preserve"> (далее – «Договор») о нижеследующем: </w:t>
      </w:r>
    </w:p>
    <w:p w:rsidR="00D66552" w:rsidRDefault="00D66552" w:rsidP="00D66552">
      <w:pPr>
        <w:pStyle w:val="a3"/>
      </w:pPr>
      <w:r>
        <w:t xml:space="preserve">1. Основные положения </w:t>
      </w:r>
      <w:bookmarkStart w:id="0" w:name="_GoBack"/>
      <w:bookmarkEnd w:id="0"/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5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5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5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_______________К.А.Попова</w:t>
            </w:r>
          </w:p>
          <w:p w:rsidR="00D66552" w:rsidRPr="003D7DE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34C5E"/>
    <w:rsid w:val="001371C8"/>
    <w:rsid w:val="001B5C1D"/>
    <w:rsid w:val="00282B29"/>
    <w:rsid w:val="002D51D7"/>
    <w:rsid w:val="003D7DE3"/>
    <w:rsid w:val="004D4263"/>
    <w:rsid w:val="006F4BA7"/>
    <w:rsid w:val="0072223B"/>
    <w:rsid w:val="00726751"/>
    <w:rsid w:val="00A56690"/>
    <w:rsid w:val="00C169B6"/>
    <w:rsid w:val="00D66552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2D95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5</cp:revision>
  <dcterms:created xsi:type="dcterms:W3CDTF">2022-01-24T02:03:00Z</dcterms:created>
  <dcterms:modified xsi:type="dcterms:W3CDTF">2022-04-13T07:43:00Z</dcterms:modified>
</cp:coreProperties>
</file>